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345</w:t>
      </w:r>
    </w:p>
    <w:p>
      <w:r>
        <w:t>Bundesgericht (BGE), 1995-10-06, DE</w:t>
      </w:r>
    </w:p>
    <w:p>
      <w:r>
        <w:rPr>
          <w:b/>
        </w:rPr>
        <w:t xml:space="preserve">Quelle: </w:t>
      </w:r>
      <w:r>
        <w:t>https://mcp.opencaselaw.ch/entscheid/bge_121 III 345</w:t>
      </w:r>
    </w:p>
    <w:p>
      <w:r>
        <w:t>FR: ATF 121 III 345</w:t>
      </w:r>
    </w:p>
    <w:p>
      <w:r>
        <w:t>IT: DTF 121 III 345</w:t>
      </w:r>
    </w:p>
    <w:p>
      <w:pPr>
        <w:pStyle w:val="Heading2"/>
      </w:pPr>
      <w:r>
        <w:t>Regeste</w:t>
      </w:r>
    </w:p>
    <w:p>
      <w:r>
        <w:t>Regeste Art. 933 und 934 ZGB; anvertraute oder abhandengekommene Sache. Eine aufgrund einer Täuschung übertragene Sache gilt als anvertraute Sache im Sinne von Art. 933 ZGB und nicht als wider Willen abhanden gekommene Sache gemäss Art. 934 ZGB, wenn die Täuschung nur das zugrundeliegende Rechtsverhältnis, nicht jedoch die Besitzübertragung als solche betrifft.</w:t>
      </w:r>
    </w:p>
    <w:p>
      <w:pPr>
        <w:pStyle w:val="Heading2"/>
      </w:pPr>
      <w:r>
        <w:t>Erwägungen</w:t>
      </w:r>
    </w:p>
    <w:p>
      <w:r>
        <w:rPr>
          <w:b/>
        </w:rPr>
        <w:t>E. 2</w:t>
      </w:r>
    </w:p>
    <w:p>
      <w:r>
        <w:t>Der Appellationshof des Kantons Bern ist in seinem Urteil vom 30. März 1995 davon ausgegangen, dass die Klägerin R. B. den VW Golf GTI im Hinblick auf einen Verkauf an einen Dritten anvertraut habe und dass in der Folge der Beklagte 1 von R. B. und anschliessend auch der Beklagte 2 vom Beklagten 1 den Wagen gutgläubig erworben habe. Diese Auffassung hält die Klägerin für bundesrechtswidrig. a) Zunächst macht die Klägerin geltend, dass sie den VW Golf GTI R. B. nicht anvertraut habe. Vielmehr sei ihr das Auto durch eine Täuschung wider ihren Willen abhandengekommen. Ob die unter dem Einfluss einer Täuschung übergebene Sache als anvertraut im Sinn von Art. 933 ZGB oder als abhandengekommen im Sinn von Art. 934 Abs. 1 ZGB zu gelten hat, ist umstritten (vgl. BGE 121 IV 26 E. 2d; HINDERLING, Der Besitz, Schweizerisches Privatrecht, Band V/1, Basel/Stuttgart 1977, S. 475 f. m.w.H.; STARK, Berner Kommentar, N. 29 f. zu Art. 933 ZGB m.w.H.). Dieses Problem stellt sich freilich dann nicht, wenn die Täuschung nicht die Besitzübertragung als solche, sondern das zugrundeliegende Rechtsverhältnis betrifft. Die Frage, ob eine Sache als anvertraut oder abhandengekommen zu qualifizieren ist, ist unabhängig vom zugrundeliegenden Rechtsgeschäft zu beantworten. Im Unterschied zum Eigentumserwerb, der nach dem Kausalitätsprinzip ein gültiges Grundgeschäft voraussetzt ( BGE 55 II 302 E. 2), ist der Übergang des Besitzes ein tatsächlicher Vorgang, der nach einhelliger Auffassung nicht von der Gültigkeit des zugrundeliegenden Rechtsgeschäftes abhängt (HINDERLING, a.a.O., S. 429 f.; LIVER, Das Eigentum, Schweizerisches Privatrecht, Band V/1, Basel/Stuttgart 1977, S. 325 f.; STARK, Berner Kommentar, N. 32 zu Art. 933 ZGB ; HAAB/SIMONIUS/SCHERRER/ZOBL, Zürcher Kommentar, N. 64 zu Art. 714 ZGB ). Da die Unverbindlichkeit des Grundgeschäftes keinen Einfluss auf die Besitzübertragung als Realakt hat, erweist sich ein Willensmangel in bezug auf dieses Rechtsgeschäft auch als unerheblich dafür, ob eine Sache mit dem BGE 121 III 345 S. 348 Willen des Erstbesitzers dem neuen Besitzer anvertraut wurde oder ihm ohne seinen Willen abhandengekommen ist. Im vorliegenden Fall kann in bezug auf die Besitzübertragung als solche keine Rede sein von einer Täuschung der Klägerin durch R. B. Die Vorinstanz hat verbindlich festgehalten ( Art. 63 Abs. 2 OG ), dass die Klägerin R. B. den Besitz am VW Golf GTI im Hinblick auf einen Verkauf an einen Dritten verschaffen wollte. Die Klägerin wurde nicht über die Besitzübertragung als solche, sondern nur in bezug auf das zugrundeliegende Rechtsgeschäft irregeführt, indem sie von R. B. darüber getäuscht worden war, dass er zum vornherein nicht bereit war, den Verkaufserlös zurückzuerstatten. Da die Klägerin den VW Golf GTI R. B. zum Weiterverkauf übergeben wollte und somit nicht in bezug auf die Besitzübertragung als solche, sondern nur hinsichtlich des zugrundeliegenden Rechtsgeschäftes getäuscht worden war, hat die Vorinstanz den Wagen zutreffend als anvertraute Sache im Sinn von Art. 933 ZGB qualifiziert. b) Weiter wirft die Klägerin der Vorinstanz vor, zu Unrecht die Gutgläubigkeit der Beklagten beim Erwerb des VW Golf GTI bejaht zu haben. Vielmehr sei sowohl der Beklagte 1 beim Erwerb des Wagens von R. B. als auch der Beklagte 2 beim Kauf vom Beklagten 1 bösgläubig bzw. unvorsichtig im Sinn von Art. 3 Abs. 2 ZGB gewesen. Wer von einem Occasionshändler ein Fahrzeug erwerbe, ohne sich den Originalfahrzeugausweis übergeben zu lassen, handle nicht gutgläubig. Die Gutgläubigkeit der Beklagten sei auch zu verneinen, weil sie das Auto ohne Nummernschilder übernommen hätten. Der Beklagte 2 sei schliesslich auch deshalb nicht gutgläubig gewesen, weil er vor Ort gewesen sei, als die Polizei dem Beklagten 1 den beschlagnahmten Wagen zurückgebracht habe. Der Erwerber einer Sache gilt grundsätzlich als gutgläubig ( Art. 3 Abs. 1 ZGB ). Der Gutglaubensschutz versagt indessen, wenn die Unkenntnis des gutgläubigen Erwerbers vom Rechtsmangel darauf zurückzuführen ist, dass er beim Erwerb der Sache jene Aufmerksamkeit vermissen liess, die von ihm nach den Umständen verlangt werden durfte ( Art. 3 Abs. 2 ZGB ). Die Unaufmerksamkeit zieht somit die gleichen Rechtsfolgen nach sich wie die Bösgläubigkeit ( BGE 113 II 397 E. 2a). Im vorliegenden Fall kann den Beklagten weder Bösgläubigkeit noch Unaufmerksamkeit vorgeworfen werden. An die Feststellung der Vorinstanz, es entspreche einer branchenüblichen Usanz, dass Autos von Occasionshändlern ohne die Übergabe des Originalfahrzeugausweises gehandelt werden, ist das BGE 121 III 345 S. 349 Bundesgericht gebunden ( BGE 113 II 25 E. 1a). Vor diesem Hintergrund musste der Beklagte 1 aufgrund der Tatsache, dass kein Fahrzeugausweis im Original vorgelegt wurde, keinen Verdacht schöpfen, zumal er bereits verschiedentlich ohne Probleme Autos von R. B. gekauft hatte und der Kaufpreis im Rahmen des unter Occasionshändlern gebräuchlichen Eurotax-Tarifes lag. Aus den gleichen Gründen ist auch die Gutgläubigkeit des Beklagten 2 beim Kauf des Autos vom Beklagten 1 zu bejahen. Daran ändert auch der Umstand nichts, dass er auf dem Verkaufsgelände des Beklagten 1 war, als die Polizei das tags zuvor beschlagnahmte Auto zurückbrachte. Im Gegenteil durfte der Beklagte 2 in der Meinung bestärkt sein, dass die polizeiliche Beschlagnahmung zu Unrecht erfolgte bzw. deren Grund nachträglich weggefallen war und der Beklagte 1 zur Veräusserung berechtigt sei. Was die Klägerin im übrigen gegen die Gutgläubigkeit der Beklagten vorbringt, erweist sich als unbehelflich. Soweit sie geltend macht, dass die Gutgläubigkeit des Erwerbers von der (notariellen) Beurkundung der Verfügungsberechtigung des Occasionshändlers abhänge, verkennt sie, dass die rechtliche Frage der Verfügungsberechtigung nicht notariell beurkundet werden kann. Die Klägerin geht auch fehl in der Annahme, die Beklagten seien nicht gutgläubig gewesen, weil der Wagen ohne Nummernschilder übergeben worden sei. Da die Autos im Occasionshandel oft nicht eingelöst oder mit einer U-Nummer versehen sind, ist das Fehlen eines Nummernschildes nicht geeignet, die Gutgläubigkeit der Beklagten in die Verfügungsberechtigung ihrer Vertragspartner zu beseitigen.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